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1E4124" w14:paraId="7512A1AF" w14:textId="77777777">
        <w:trPr>
          <w:trHeight w:val="400"/>
        </w:trPr>
        <w:tc>
          <w:tcPr>
            <w:tcW w:w="7995" w:type="dxa"/>
          </w:tcPr>
          <w:p w14:paraId="0AB43BA5" w14:textId="77777777" w:rsidR="00C63BB3" w:rsidRPr="002E0CF0" w:rsidRDefault="002E0CF0" w:rsidP="001E4124">
            <w:pPr>
              <w:widowControl/>
              <w:autoSpaceDE w:val="0"/>
              <w:autoSpaceDN w:val="0"/>
              <w:adjustRightInd w:val="0"/>
              <w:spacing w:after="120" w:line="240" w:lineRule="auto"/>
              <w:jc w:val="both"/>
              <w:rPr>
                <w:rFonts w:ascii="Arial" w:hAnsi="Arial" w:cs="Arial"/>
                <w:b/>
                <w:color w:val="000000"/>
                <w:sz w:val="28"/>
                <w:szCs w:val="28"/>
                <w:lang w:eastAsia="en-GB"/>
              </w:rPr>
            </w:pPr>
            <w:r w:rsidRPr="002E0CF0">
              <w:rPr>
                <w:rFonts w:ascii="Arial" w:hAnsi="Arial" w:cs="Arial"/>
                <w:b/>
                <w:color w:val="000000"/>
                <w:sz w:val="28"/>
                <w:szCs w:val="28"/>
                <w:lang w:eastAsia="en-GB"/>
              </w:rPr>
              <w:t>Appendix A</w:t>
            </w:r>
          </w:p>
          <w:p w14:paraId="3F60E20A" w14:textId="77777777" w:rsidR="007451C0" w:rsidRDefault="00C63BB3" w:rsidP="001E4124">
            <w:pPr>
              <w:pStyle w:val="Heading2Bold"/>
              <w:spacing w:after="120"/>
              <w:jc w:val="both"/>
              <w:rPr>
                <w:rFonts w:ascii="Arial" w:hAnsi="Arial" w:cs="Arial"/>
                <w:bCs/>
                <w:noProof w:val="0"/>
                <w:color w:val="000000"/>
                <w:sz w:val="22"/>
                <w:szCs w:val="22"/>
                <w:lang w:eastAsia="en-GB"/>
              </w:rPr>
            </w:pPr>
            <w:r w:rsidRPr="001E4124">
              <w:rPr>
                <w:rFonts w:ascii="Arial" w:hAnsi="Arial" w:cs="Arial"/>
                <w:bCs/>
                <w:noProof w:val="0"/>
                <w:color w:val="000000"/>
                <w:sz w:val="22"/>
                <w:szCs w:val="22"/>
                <w:lang w:eastAsia="en-GB"/>
              </w:rPr>
              <w:t xml:space="preserve">Fire and Rescue National Framework for England </w:t>
            </w:r>
          </w:p>
          <w:p w14:paraId="02CC5CD9" w14:textId="77777777" w:rsidR="00820B74" w:rsidRPr="001E4124" w:rsidRDefault="00820B74" w:rsidP="00820B74">
            <w:pPr>
              <w:pStyle w:val="Heading2Bold"/>
              <w:spacing w:after="120"/>
              <w:jc w:val="both"/>
              <w:rPr>
                <w:rFonts w:ascii="Arial" w:hAnsi="Arial" w:cs="Arial"/>
                <w:sz w:val="22"/>
                <w:szCs w:val="22"/>
              </w:rPr>
            </w:pPr>
            <w:r>
              <w:rPr>
                <w:rFonts w:ascii="Arial" w:hAnsi="Arial" w:cs="Arial"/>
                <w:bCs/>
                <w:noProof w:val="0"/>
                <w:color w:val="000000"/>
                <w:sz w:val="22"/>
                <w:szCs w:val="22"/>
                <w:lang w:eastAsia="en-GB"/>
              </w:rPr>
              <w:t>LGA consultation response</w:t>
            </w:r>
          </w:p>
        </w:tc>
      </w:tr>
      <w:tr w:rsidR="007451C0" w:rsidRPr="001E4124" w14:paraId="13167EBC" w14:textId="77777777">
        <w:trPr>
          <w:trHeight w:hRule="exact" w:val="400"/>
        </w:trPr>
        <w:tc>
          <w:tcPr>
            <w:tcW w:w="7995" w:type="dxa"/>
          </w:tcPr>
          <w:p w14:paraId="66D1A0E6" w14:textId="77777777" w:rsidR="007451C0" w:rsidRPr="001E4124" w:rsidRDefault="004D36CF" w:rsidP="001E4124">
            <w:pPr>
              <w:pStyle w:val="Heading2"/>
              <w:spacing w:after="120"/>
              <w:jc w:val="both"/>
              <w:rPr>
                <w:rFonts w:ascii="Arial" w:hAnsi="Arial" w:cs="Arial"/>
                <w:sz w:val="22"/>
                <w:szCs w:val="22"/>
              </w:rPr>
            </w:pPr>
            <w:bookmarkStart w:id="0" w:name="bmDocumentDate"/>
            <w:bookmarkEnd w:id="0"/>
            <w:r w:rsidRPr="001E4124">
              <w:rPr>
                <w:rFonts w:ascii="Arial" w:hAnsi="Arial" w:cs="Arial"/>
                <w:sz w:val="22"/>
                <w:szCs w:val="22"/>
              </w:rPr>
              <w:t xml:space="preserve">Date: </w:t>
            </w:r>
            <w:r w:rsidR="00CD2E34">
              <w:rPr>
                <w:rFonts w:ascii="Arial" w:hAnsi="Arial" w:cs="Arial"/>
                <w:sz w:val="22"/>
                <w:szCs w:val="22"/>
              </w:rPr>
              <w:t>14 February 2018</w:t>
            </w:r>
          </w:p>
        </w:tc>
      </w:tr>
    </w:tbl>
    <w:p w14:paraId="6108AA57" w14:textId="77777777" w:rsidR="00306D21" w:rsidRPr="001E4124" w:rsidRDefault="00306D21" w:rsidP="001E4124">
      <w:pPr>
        <w:spacing w:after="120"/>
        <w:jc w:val="both"/>
        <w:rPr>
          <w:rFonts w:ascii="Arial" w:hAnsi="Arial" w:cs="Arial"/>
          <w:szCs w:val="22"/>
        </w:rPr>
      </w:pPr>
    </w:p>
    <w:p w14:paraId="247BC6B7" w14:textId="77777777" w:rsidR="00225477" w:rsidRPr="001E4124" w:rsidRDefault="00225477" w:rsidP="001E4124">
      <w:pPr>
        <w:spacing w:after="120"/>
        <w:jc w:val="both"/>
        <w:rPr>
          <w:rFonts w:ascii="Arial" w:hAnsi="Arial" w:cs="Arial"/>
          <w:szCs w:val="22"/>
        </w:rPr>
        <w:sectPr w:rsidR="00225477" w:rsidRPr="001E4124" w:rsidSect="00DB7A61">
          <w:headerReference w:type="default" r:id="rId11"/>
          <w:pgSz w:w="11906" w:h="16838"/>
          <w:pgMar w:top="2209" w:right="2495" w:bottom="1134" w:left="1418" w:header="335" w:footer="573" w:gutter="0"/>
          <w:cols w:space="720"/>
        </w:sectPr>
      </w:pPr>
    </w:p>
    <w:p w14:paraId="3B831EAA" w14:textId="77777777" w:rsidR="00306D21" w:rsidRPr="001E4124" w:rsidRDefault="00306D21" w:rsidP="001E4124">
      <w:pPr>
        <w:spacing w:after="120"/>
        <w:jc w:val="both"/>
        <w:rPr>
          <w:rFonts w:ascii="Arial" w:hAnsi="Arial" w:cs="Arial"/>
          <w:szCs w:val="22"/>
        </w:rPr>
      </w:pPr>
    </w:p>
    <w:p w14:paraId="303C44D6" w14:textId="77777777" w:rsidR="00DB6879" w:rsidRPr="001E4124" w:rsidRDefault="00DB6879" w:rsidP="001E4124">
      <w:pPr>
        <w:numPr>
          <w:ilvl w:val="0"/>
          <w:numId w:val="18"/>
        </w:numPr>
        <w:spacing w:after="120"/>
        <w:jc w:val="both"/>
        <w:rPr>
          <w:rFonts w:ascii="Arial" w:hAnsi="Arial" w:cs="Arial"/>
          <w:b/>
          <w:szCs w:val="22"/>
        </w:rPr>
      </w:pPr>
      <w:r w:rsidRPr="001E4124">
        <w:rPr>
          <w:rFonts w:ascii="Arial" w:hAnsi="Arial" w:cs="Arial"/>
          <w:b/>
          <w:szCs w:val="22"/>
        </w:rPr>
        <w:t>About the Local Government Association (LGA)</w:t>
      </w:r>
    </w:p>
    <w:p w14:paraId="1329A0DC" w14:textId="77777777" w:rsidR="00DB6879" w:rsidRPr="001E4124" w:rsidRDefault="00DB6879" w:rsidP="001E4124">
      <w:pPr>
        <w:ind w:left="360"/>
        <w:jc w:val="both"/>
        <w:rPr>
          <w:rFonts w:ascii="Arial" w:hAnsi="Arial" w:cs="Arial"/>
          <w:b/>
          <w:szCs w:val="22"/>
        </w:rPr>
      </w:pPr>
    </w:p>
    <w:p w14:paraId="3F0CC69A" w14:textId="77777777" w:rsidR="00DB6879" w:rsidRPr="001E4124" w:rsidRDefault="00DB6879" w:rsidP="001E4124">
      <w:pPr>
        <w:numPr>
          <w:ilvl w:val="1"/>
          <w:numId w:val="18"/>
        </w:numPr>
        <w:ind w:hanging="508"/>
        <w:jc w:val="both"/>
        <w:rPr>
          <w:rFonts w:ascii="Arial" w:hAnsi="Arial" w:cs="Arial"/>
          <w:b/>
          <w:szCs w:val="22"/>
        </w:rPr>
      </w:pPr>
      <w:r w:rsidRPr="001E4124">
        <w:rPr>
          <w:rFonts w:ascii="Arial" w:hAnsi="Arial" w:cs="Arial"/>
          <w:szCs w:val="22"/>
        </w:rPr>
        <w:t>The Local Government Association (LGA) is the national voice of local government. We work with councils</w:t>
      </w:r>
      <w:r w:rsidR="007E3DCE" w:rsidRPr="001E4124">
        <w:rPr>
          <w:rFonts w:ascii="Arial" w:hAnsi="Arial" w:cs="Arial"/>
          <w:szCs w:val="22"/>
        </w:rPr>
        <w:t xml:space="preserve"> and fire and rescue authorities</w:t>
      </w:r>
      <w:r w:rsidRPr="001E4124">
        <w:rPr>
          <w:rFonts w:ascii="Arial" w:hAnsi="Arial" w:cs="Arial"/>
          <w:szCs w:val="22"/>
        </w:rPr>
        <w:t xml:space="preserve"> to support, promote and improve local government.</w:t>
      </w:r>
    </w:p>
    <w:p w14:paraId="682BE200" w14:textId="77777777" w:rsidR="00DB6879" w:rsidRPr="001E4124" w:rsidRDefault="00DB6879" w:rsidP="001E4124">
      <w:pPr>
        <w:jc w:val="both"/>
        <w:rPr>
          <w:rFonts w:ascii="Arial" w:hAnsi="Arial" w:cs="Arial"/>
          <w:szCs w:val="22"/>
        </w:rPr>
      </w:pPr>
    </w:p>
    <w:p w14:paraId="768A14F4" w14:textId="77777777" w:rsidR="00DB6879" w:rsidRPr="001E4124" w:rsidRDefault="00DB6879" w:rsidP="001E4124">
      <w:pPr>
        <w:numPr>
          <w:ilvl w:val="1"/>
          <w:numId w:val="18"/>
        </w:numPr>
        <w:ind w:hanging="508"/>
        <w:jc w:val="both"/>
        <w:rPr>
          <w:rFonts w:ascii="Arial" w:hAnsi="Arial" w:cs="Arial"/>
          <w:b/>
          <w:szCs w:val="22"/>
        </w:rPr>
      </w:pPr>
      <w:r w:rsidRPr="001E4124">
        <w:rPr>
          <w:rFonts w:ascii="Arial" w:hAnsi="Arial" w:cs="Arial"/>
          <w:szCs w:val="22"/>
        </w:rPr>
        <w:t xml:space="preserve">We are a politically-led, cross party organisation which works on behalf of councils to ensure local government has a strong, credible voice with national government.  We aim to influence and set the political agenda on the issues that matter to </w:t>
      </w:r>
      <w:r w:rsidR="007E3DCE" w:rsidRPr="001E4124">
        <w:rPr>
          <w:rFonts w:ascii="Arial" w:hAnsi="Arial" w:cs="Arial"/>
          <w:szCs w:val="22"/>
        </w:rPr>
        <w:t>local authorities</w:t>
      </w:r>
      <w:r w:rsidRPr="001E4124">
        <w:rPr>
          <w:rFonts w:ascii="Arial" w:hAnsi="Arial" w:cs="Arial"/>
          <w:szCs w:val="22"/>
        </w:rPr>
        <w:t xml:space="preserve"> so they are able to deliver local solutions to national problems.</w:t>
      </w:r>
    </w:p>
    <w:p w14:paraId="2A52D79E" w14:textId="77777777" w:rsidR="00DB6879" w:rsidRPr="001E4124" w:rsidRDefault="00DB6879" w:rsidP="001E4124">
      <w:pPr>
        <w:pStyle w:val="ListParagraph"/>
        <w:jc w:val="both"/>
        <w:rPr>
          <w:rFonts w:ascii="Arial" w:hAnsi="Arial" w:cs="Arial"/>
          <w:b/>
          <w:sz w:val="22"/>
          <w:szCs w:val="22"/>
        </w:rPr>
      </w:pPr>
    </w:p>
    <w:p w14:paraId="47268F5B" w14:textId="77777777" w:rsidR="00DB6879" w:rsidRPr="001E4124" w:rsidRDefault="00DB6879" w:rsidP="001E4124">
      <w:pPr>
        <w:numPr>
          <w:ilvl w:val="1"/>
          <w:numId w:val="18"/>
        </w:numPr>
        <w:ind w:hanging="508"/>
        <w:jc w:val="both"/>
        <w:rPr>
          <w:rFonts w:ascii="Arial" w:hAnsi="Arial" w:cs="Arial"/>
          <w:szCs w:val="22"/>
        </w:rPr>
      </w:pPr>
      <w:r w:rsidRPr="001E4124">
        <w:rPr>
          <w:rFonts w:ascii="Arial" w:hAnsi="Arial" w:cs="Arial"/>
          <w:szCs w:val="22"/>
        </w:rPr>
        <w:t xml:space="preserve">This paper contains the response of the LGA’s Fire Services Management Committee. </w:t>
      </w:r>
    </w:p>
    <w:p w14:paraId="2D56706C" w14:textId="77777777" w:rsidR="00DB6879" w:rsidRPr="001E4124" w:rsidRDefault="00DB6879" w:rsidP="001E4124">
      <w:pPr>
        <w:pStyle w:val="ListParagraph"/>
        <w:spacing w:after="120"/>
        <w:ind w:left="360"/>
        <w:jc w:val="both"/>
        <w:rPr>
          <w:rFonts w:ascii="Arial" w:hAnsi="Arial" w:cs="Arial"/>
          <w:b/>
          <w:sz w:val="22"/>
          <w:szCs w:val="22"/>
        </w:rPr>
      </w:pPr>
    </w:p>
    <w:p w14:paraId="6823BB52" w14:textId="77777777" w:rsidR="001E4124" w:rsidRPr="001E4124" w:rsidRDefault="00C63BB3" w:rsidP="001E4124">
      <w:pPr>
        <w:pStyle w:val="ListParagraph"/>
        <w:numPr>
          <w:ilvl w:val="0"/>
          <w:numId w:val="18"/>
        </w:numPr>
        <w:spacing w:after="120"/>
        <w:jc w:val="both"/>
        <w:rPr>
          <w:rFonts w:ascii="Arial" w:hAnsi="Arial" w:cs="Arial"/>
          <w:b/>
          <w:sz w:val="22"/>
          <w:szCs w:val="22"/>
        </w:rPr>
      </w:pPr>
      <w:r w:rsidRPr="001E4124">
        <w:rPr>
          <w:rFonts w:ascii="Arial" w:hAnsi="Arial" w:cs="Arial"/>
          <w:b/>
          <w:sz w:val="22"/>
          <w:szCs w:val="22"/>
        </w:rPr>
        <w:t>The Framework</w:t>
      </w:r>
    </w:p>
    <w:p w14:paraId="3DD61BB2" w14:textId="630D98E5" w:rsidR="001E4124" w:rsidRPr="00FE2E1F" w:rsidRDefault="001E4124" w:rsidP="001E4124">
      <w:pPr>
        <w:pStyle w:val="ListParagraph"/>
        <w:numPr>
          <w:ilvl w:val="1"/>
          <w:numId w:val="18"/>
        </w:numPr>
        <w:spacing w:after="120"/>
        <w:jc w:val="both"/>
        <w:rPr>
          <w:rFonts w:ascii="Arial" w:hAnsi="Arial" w:cs="Arial"/>
          <w:b/>
          <w:sz w:val="22"/>
          <w:szCs w:val="22"/>
        </w:rPr>
      </w:pPr>
      <w:r w:rsidRPr="001E4124">
        <w:rPr>
          <w:rFonts w:ascii="Arial" w:hAnsi="Arial" w:cs="Arial"/>
          <w:sz w:val="22"/>
          <w:szCs w:val="22"/>
        </w:rPr>
        <w:t xml:space="preserve">We welcome assurances we have </w:t>
      </w:r>
      <w:r w:rsidR="00E33B6E">
        <w:rPr>
          <w:rFonts w:ascii="Arial" w:hAnsi="Arial" w:cs="Arial"/>
          <w:sz w:val="22"/>
          <w:szCs w:val="22"/>
        </w:rPr>
        <w:t>received that t</w:t>
      </w:r>
      <w:r w:rsidRPr="001E4124">
        <w:rPr>
          <w:rFonts w:ascii="Arial" w:hAnsi="Arial" w:cs="Arial"/>
          <w:sz w:val="22"/>
          <w:szCs w:val="22"/>
        </w:rPr>
        <w:t>he IRMP remains the basis for all fire and rescue service activity and the National Framework continues to require all FRAs - regardless of governance model – to produce an IRMP setting out how each FRA will deliver its core functions.</w:t>
      </w:r>
    </w:p>
    <w:p w14:paraId="59482D8B" w14:textId="77777777" w:rsidR="00FE2E1F" w:rsidRPr="001E4124" w:rsidRDefault="00FE2E1F" w:rsidP="00FE2E1F">
      <w:pPr>
        <w:pStyle w:val="ListParagraph"/>
        <w:spacing w:after="120"/>
        <w:ind w:left="792"/>
        <w:jc w:val="both"/>
        <w:rPr>
          <w:rFonts w:ascii="Arial" w:hAnsi="Arial" w:cs="Arial"/>
          <w:b/>
          <w:sz w:val="22"/>
          <w:szCs w:val="22"/>
        </w:rPr>
      </w:pPr>
    </w:p>
    <w:p w14:paraId="59F14C83" w14:textId="77777777" w:rsidR="001E4124" w:rsidRDefault="001E4124" w:rsidP="001E4124">
      <w:pPr>
        <w:pStyle w:val="ListParagraph"/>
        <w:numPr>
          <w:ilvl w:val="1"/>
          <w:numId w:val="18"/>
        </w:numPr>
        <w:autoSpaceDE w:val="0"/>
        <w:autoSpaceDN w:val="0"/>
        <w:adjustRightInd w:val="0"/>
        <w:spacing w:after="120"/>
        <w:jc w:val="both"/>
        <w:rPr>
          <w:rFonts w:ascii="Arial" w:hAnsi="Arial" w:cs="Arial"/>
          <w:sz w:val="22"/>
          <w:szCs w:val="22"/>
        </w:rPr>
      </w:pPr>
      <w:r w:rsidRPr="001E4124">
        <w:rPr>
          <w:rFonts w:ascii="Arial" w:hAnsi="Arial" w:cs="Arial"/>
          <w:sz w:val="22"/>
          <w:szCs w:val="22"/>
        </w:rPr>
        <w:t xml:space="preserve">We remain concerned that the apparent disparity between the expectations of Police and Crime Commissioner (PCC) style FRAs and other FRAs in relation to the production of Integrated Risk Management Plans (IRMPs) and Fire and Rescue Plans could cause confusion. In particular the suggestion in paragraph 4.10 that the IRMP ‘may also include details of how the fire and rescue service intends to meet the strategic vision set out by the fire and rescue plan’ risks conflating political objectives and risk-based analysis. </w:t>
      </w:r>
    </w:p>
    <w:p w14:paraId="6E362715" w14:textId="77777777" w:rsidR="00FE2E1F" w:rsidRPr="00FE2E1F" w:rsidRDefault="00FE2E1F" w:rsidP="00FE2E1F">
      <w:pPr>
        <w:pStyle w:val="ListParagraph"/>
        <w:rPr>
          <w:rFonts w:ascii="Arial" w:hAnsi="Arial" w:cs="Arial"/>
          <w:sz w:val="22"/>
          <w:szCs w:val="22"/>
        </w:rPr>
      </w:pPr>
    </w:p>
    <w:p w14:paraId="1911170F" w14:textId="77777777" w:rsidR="00262F66" w:rsidRPr="00FE2E1F" w:rsidRDefault="00262F66" w:rsidP="001E4124">
      <w:pPr>
        <w:pStyle w:val="ListParagraph"/>
        <w:numPr>
          <w:ilvl w:val="1"/>
          <w:numId w:val="18"/>
        </w:numPr>
        <w:autoSpaceDE w:val="0"/>
        <w:autoSpaceDN w:val="0"/>
        <w:adjustRightInd w:val="0"/>
        <w:spacing w:after="120"/>
        <w:jc w:val="both"/>
        <w:rPr>
          <w:rFonts w:ascii="Arial" w:hAnsi="Arial" w:cs="Arial"/>
          <w:sz w:val="22"/>
          <w:szCs w:val="22"/>
        </w:rPr>
      </w:pPr>
      <w:r w:rsidRPr="00262F66">
        <w:rPr>
          <w:rFonts w:ascii="Arial" w:hAnsi="Arial" w:cs="Arial"/>
          <w:iCs/>
          <w:sz w:val="22"/>
          <w:szCs w:val="22"/>
          <w:lang w:eastAsia="en-US"/>
        </w:rPr>
        <w:t>We have concerns about both the resources and powers available to P</w:t>
      </w:r>
      <w:r w:rsidR="001B40B4">
        <w:rPr>
          <w:rFonts w:ascii="Arial" w:hAnsi="Arial" w:cs="Arial"/>
          <w:iCs/>
          <w:sz w:val="22"/>
          <w:szCs w:val="22"/>
          <w:lang w:eastAsia="en-US"/>
        </w:rPr>
        <w:t xml:space="preserve">olice and Crime Panels </w:t>
      </w:r>
      <w:r w:rsidRPr="00262F66">
        <w:rPr>
          <w:rFonts w:ascii="Arial" w:hAnsi="Arial" w:cs="Arial"/>
          <w:iCs/>
          <w:sz w:val="22"/>
          <w:szCs w:val="22"/>
          <w:lang w:eastAsia="en-US"/>
        </w:rPr>
        <w:t>in fulfilling their scrutiny functions in relation to an expanded remit</w:t>
      </w:r>
      <w:r w:rsidR="001B40B4">
        <w:rPr>
          <w:rFonts w:ascii="Arial" w:hAnsi="Arial" w:cs="Arial"/>
          <w:iCs/>
          <w:sz w:val="22"/>
          <w:szCs w:val="22"/>
          <w:lang w:eastAsia="en-US"/>
        </w:rPr>
        <w:t xml:space="preserve"> to include fire. A</w:t>
      </w:r>
      <w:r w:rsidRPr="00262F66">
        <w:rPr>
          <w:rFonts w:ascii="Arial" w:hAnsi="Arial" w:cs="Arial"/>
          <w:iCs/>
          <w:sz w:val="22"/>
          <w:szCs w:val="22"/>
          <w:lang w:eastAsia="en-US"/>
        </w:rPr>
        <w:t>ny shortcomings in this respect could impact upon the preparation of the IRMP.</w:t>
      </w:r>
    </w:p>
    <w:p w14:paraId="1F408D9A" w14:textId="77777777" w:rsidR="00FE2E1F" w:rsidRPr="00FE2E1F" w:rsidRDefault="00FE2E1F" w:rsidP="00FE2E1F">
      <w:pPr>
        <w:pStyle w:val="ListParagraph"/>
        <w:rPr>
          <w:rFonts w:ascii="Arial" w:hAnsi="Arial" w:cs="Arial"/>
          <w:sz w:val="22"/>
          <w:szCs w:val="22"/>
        </w:rPr>
      </w:pPr>
    </w:p>
    <w:p w14:paraId="3FAE4948" w14:textId="77777777" w:rsidR="001E4124" w:rsidRDefault="001E4124" w:rsidP="001E4124">
      <w:pPr>
        <w:pStyle w:val="ListParagraph"/>
        <w:numPr>
          <w:ilvl w:val="1"/>
          <w:numId w:val="18"/>
        </w:numPr>
        <w:autoSpaceDE w:val="0"/>
        <w:autoSpaceDN w:val="0"/>
        <w:adjustRightInd w:val="0"/>
        <w:spacing w:after="120"/>
        <w:jc w:val="both"/>
        <w:rPr>
          <w:rFonts w:ascii="Arial" w:hAnsi="Arial" w:cs="Arial"/>
          <w:sz w:val="22"/>
          <w:szCs w:val="22"/>
        </w:rPr>
      </w:pPr>
      <w:r w:rsidRPr="001E4124">
        <w:rPr>
          <w:rFonts w:ascii="Arial" w:hAnsi="Arial" w:cs="Arial"/>
          <w:sz w:val="22"/>
          <w:szCs w:val="22"/>
        </w:rPr>
        <w:t xml:space="preserve">References to the Regulatory Fire Safety Order 2005 may need updating in the light of any recommendations that emerge from Dame Judith Hackitt’s Independent Review of Building Regulations and Fire Safety. We </w:t>
      </w:r>
      <w:r w:rsidRPr="001E4124">
        <w:rPr>
          <w:rFonts w:ascii="Arial" w:hAnsi="Arial" w:cs="Arial"/>
          <w:sz w:val="22"/>
          <w:szCs w:val="22"/>
        </w:rPr>
        <w:lastRenderedPageBreak/>
        <w:t>are pleased to note the Home Office’s assurance that it will consider on an ongoing basis the outputs from the Grenfell Tower Public Inquiry and the Independent Review of Building Regulations and Fire Safety and make further changes to the Framework as required. Any Grenfell Tower Public Inquiry or Building Regulations Review related changes would be subject to further consultation.</w:t>
      </w:r>
    </w:p>
    <w:p w14:paraId="3DA2FD6C" w14:textId="77777777" w:rsidR="00FE2E1F" w:rsidRPr="00FE2E1F" w:rsidRDefault="00FE2E1F" w:rsidP="00FE2E1F">
      <w:pPr>
        <w:pStyle w:val="ListParagraph"/>
        <w:rPr>
          <w:rFonts w:ascii="Arial" w:hAnsi="Arial" w:cs="Arial"/>
          <w:sz w:val="22"/>
          <w:szCs w:val="22"/>
        </w:rPr>
      </w:pPr>
    </w:p>
    <w:p w14:paraId="1C3E16CA" w14:textId="77777777" w:rsidR="001E4124" w:rsidRDefault="001E4124" w:rsidP="001E4124">
      <w:pPr>
        <w:pStyle w:val="ListParagraph"/>
        <w:numPr>
          <w:ilvl w:val="1"/>
          <w:numId w:val="18"/>
        </w:numPr>
        <w:autoSpaceDE w:val="0"/>
        <w:autoSpaceDN w:val="0"/>
        <w:adjustRightInd w:val="0"/>
        <w:spacing w:after="120"/>
        <w:jc w:val="both"/>
        <w:rPr>
          <w:rFonts w:ascii="Arial" w:hAnsi="Arial" w:cs="Arial"/>
          <w:sz w:val="22"/>
          <w:szCs w:val="22"/>
        </w:rPr>
      </w:pPr>
      <w:r w:rsidRPr="001E4124">
        <w:rPr>
          <w:rFonts w:ascii="Arial" w:hAnsi="Arial" w:cs="Arial"/>
          <w:sz w:val="22"/>
          <w:szCs w:val="22"/>
        </w:rPr>
        <w:t>The reserves strategy (paragraphs 5.5 -5.9) is a new requirement. Although the Home Office view is that FRAs which have effective arrangements in place to produce their medium-term financial plans will not find the inclusion of a reserves strategy an additional burden, as the information required for the reserves strategy is already produced by the FRA, the requirement to produce a reserves strategy is a new requirement and even if the information exists, information is not a strategy and the production of one is a new burden. This requirement therefore needs to be assessed under the new burdens protocol.</w:t>
      </w:r>
    </w:p>
    <w:p w14:paraId="54E2EA77" w14:textId="77777777" w:rsidR="00FE2E1F" w:rsidRPr="00FE2E1F" w:rsidRDefault="00FE2E1F" w:rsidP="00FE2E1F">
      <w:pPr>
        <w:pStyle w:val="ListParagraph"/>
        <w:rPr>
          <w:rFonts w:ascii="Arial" w:hAnsi="Arial" w:cs="Arial"/>
          <w:sz w:val="22"/>
          <w:szCs w:val="22"/>
        </w:rPr>
      </w:pPr>
    </w:p>
    <w:p w14:paraId="14FD0FBD" w14:textId="77777777" w:rsidR="001E4124" w:rsidRDefault="001E4124" w:rsidP="001E4124">
      <w:pPr>
        <w:pStyle w:val="ListParagraph"/>
        <w:numPr>
          <w:ilvl w:val="1"/>
          <w:numId w:val="18"/>
        </w:numPr>
        <w:autoSpaceDE w:val="0"/>
        <w:autoSpaceDN w:val="0"/>
        <w:adjustRightInd w:val="0"/>
        <w:spacing w:after="120"/>
        <w:jc w:val="both"/>
        <w:rPr>
          <w:rFonts w:ascii="Arial" w:hAnsi="Arial" w:cs="Arial"/>
          <w:sz w:val="22"/>
          <w:szCs w:val="22"/>
        </w:rPr>
      </w:pPr>
      <w:r w:rsidRPr="001E4124">
        <w:rPr>
          <w:rFonts w:ascii="Arial" w:hAnsi="Arial" w:cs="Arial"/>
          <w:sz w:val="22"/>
          <w:szCs w:val="22"/>
        </w:rPr>
        <w:t>We note that the Home Office has undertaken to consider the section on Marauding Terrorist Firearms Attack (MTFA) and resilience needs in the context of ongoing discussions at NJC between now and publication of the Framework and make any amendments as considered necessary. We expect to be consulted on any changes.</w:t>
      </w:r>
    </w:p>
    <w:p w14:paraId="44B31837" w14:textId="77777777" w:rsidR="00FE2E1F" w:rsidRPr="00FE2E1F" w:rsidRDefault="00FE2E1F" w:rsidP="00FE2E1F">
      <w:pPr>
        <w:pStyle w:val="ListParagraph"/>
        <w:rPr>
          <w:rFonts w:ascii="Arial" w:hAnsi="Arial" w:cs="Arial"/>
          <w:sz w:val="22"/>
          <w:szCs w:val="22"/>
        </w:rPr>
      </w:pPr>
    </w:p>
    <w:p w14:paraId="5297E355" w14:textId="6DAAD1A0" w:rsidR="00FE2E1F" w:rsidRDefault="001E4124" w:rsidP="00FE2E1F">
      <w:pPr>
        <w:pStyle w:val="ListParagraph"/>
        <w:numPr>
          <w:ilvl w:val="1"/>
          <w:numId w:val="18"/>
        </w:numPr>
        <w:autoSpaceDE w:val="0"/>
        <w:autoSpaceDN w:val="0"/>
        <w:adjustRightInd w:val="0"/>
        <w:spacing w:after="120"/>
        <w:jc w:val="both"/>
        <w:rPr>
          <w:rFonts w:ascii="Arial" w:hAnsi="Arial" w:cs="Arial"/>
          <w:sz w:val="22"/>
          <w:szCs w:val="22"/>
        </w:rPr>
      </w:pPr>
      <w:r w:rsidRPr="001E4124">
        <w:rPr>
          <w:rFonts w:ascii="Arial" w:hAnsi="Arial" w:cs="Arial"/>
          <w:sz w:val="22"/>
          <w:szCs w:val="22"/>
        </w:rPr>
        <w:t>Paragraph 7.14 states that:</w:t>
      </w:r>
    </w:p>
    <w:p w14:paraId="7709C0F6" w14:textId="77777777" w:rsidR="00FE2E1F" w:rsidRPr="00FE2E1F" w:rsidRDefault="00FE2E1F" w:rsidP="00FE2E1F">
      <w:pPr>
        <w:pStyle w:val="ListParagraph"/>
        <w:rPr>
          <w:rFonts w:ascii="Arial" w:hAnsi="Arial" w:cs="Arial"/>
          <w:sz w:val="22"/>
          <w:szCs w:val="22"/>
        </w:rPr>
      </w:pPr>
    </w:p>
    <w:p w14:paraId="10281F50" w14:textId="394C14DD" w:rsidR="001E4124" w:rsidRDefault="001E4124" w:rsidP="001E4559">
      <w:pPr>
        <w:pStyle w:val="ListParagraph"/>
        <w:numPr>
          <w:ilvl w:val="2"/>
          <w:numId w:val="18"/>
        </w:numPr>
        <w:autoSpaceDE w:val="0"/>
        <w:autoSpaceDN w:val="0"/>
        <w:adjustRightInd w:val="0"/>
        <w:spacing w:after="120"/>
        <w:ind w:hanging="657"/>
        <w:jc w:val="both"/>
        <w:rPr>
          <w:rFonts w:ascii="Arial" w:hAnsi="Arial" w:cs="Arial"/>
          <w:sz w:val="22"/>
          <w:szCs w:val="22"/>
        </w:rPr>
      </w:pPr>
      <w:bookmarkStart w:id="1" w:name="_GoBack"/>
      <w:bookmarkEnd w:id="1"/>
      <w:r w:rsidRPr="001E4124">
        <w:rPr>
          <w:rFonts w:ascii="Arial" w:hAnsi="Arial" w:cs="Arial"/>
          <w:sz w:val="22"/>
          <w:szCs w:val="22"/>
        </w:rPr>
        <w:t xml:space="preserve">Fire and rescue authorities are responsible for maintaining the robustness of the capability and, where they have an MTFA capability, must put in place arrangements to ensure their teams are fully available at all times, including periods when business continuity arrangements are in place. </w:t>
      </w:r>
    </w:p>
    <w:p w14:paraId="4D38E3CE" w14:textId="77777777" w:rsidR="00FE2E1F" w:rsidRPr="001E4124" w:rsidRDefault="00FE2E1F" w:rsidP="001E4124">
      <w:pPr>
        <w:pStyle w:val="ListParagraph"/>
        <w:autoSpaceDE w:val="0"/>
        <w:autoSpaceDN w:val="0"/>
        <w:adjustRightInd w:val="0"/>
        <w:spacing w:after="120"/>
        <w:ind w:left="1440"/>
        <w:jc w:val="both"/>
        <w:rPr>
          <w:rFonts w:ascii="Arial" w:hAnsi="Arial" w:cs="Arial"/>
          <w:sz w:val="22"/>
          <w:szCs w:val="22"/>
        </w:rPr>
      </w:pPr>
    </w:p>
    <w:p w14:paraId="334C4725" w14:textId="1649E4D6" w:rsidR="00E33B6E" w:rsidRDefault="00E33B6E" w:rsidP="00E33B6E">
      <w:pPr>
        <w:pStyle w:val="ListParagraph"/>
        <w:numPr>
          <w:ilvl w:val="1"/>
          <w:numId w:val="18"/>
        </w:numPr>
        <w:autoSpaceDE w:val="0"/>
        <w:autoSpaceDN w:val="0"/>
        <w:adjustRightInd w:val="0"/>
        <w:spacing w:after="120"/>
        <w:jc w:val="both"/>
        <w:rPr>
          <w:rFonts w:ascii="Arial" w:hAnsi="Arial" w:cs="Arial"/>
          <w:sz w:val="22"/>
          <w:szCs w:val="22"/>
        </w:rPr>
      </w:pPr>
      <w:r w:rsidRPr="00E33B6E">
        <w:rPr>
          <w:rFonts w:ascii="Arial" w:hAnsi="Arial" w:cs="Arial"/>
          <w:sz w:val="22"/>
          <w:szCs w:val="22"/>
        </w:rPr>
        <w:t>We think this imposes an impossible burden on FRAs. In the event of industrial action MTFA capability cannot be hired in.</w:t>
      </w:r>
    </w:p>
    <w:p w14:paraId="02E8E142" w14:textId="77777777" w:rsidR="00FE2E1F" w:rsidRDefault="00FE2E1F" w:rsidP="00FE2E1F">
      <w:pPr>
        <w:pStyle w:val="ListParagraph"/>
        <w:autoSpaceDE w:val="0"/>
        <w:autoSpaceDN w:val="0"/>
        <w:adjustRightInd w:val="0"/>
        <w:spacing w:after="120"/>
        <w:ind w:left="792"/>
        <w:jc w:val="both"/>
        <w:rPr>
          <w:rFonts w:ascii="Arial" w:hAnsi="Arial" w:cs="Arial"/>
          <w:sz w:val="22"/>
          <w:szCs w:val="22"/>
        </w:rPr>
      </w:pPr>
    </w:p>
    <w:p w14:paraId="0C43AAD1" w14:textId="77777777" w:rsidR="001E4124" w:rsidRDefault="001E4124" w:rsidP="001E4124">
      <w:pPr>
        <w:pStyle w:val="ListParagraph"/>
        <w:numPr>
          <w:ilvl w:val="1"/>
          <w:numId w:val="18"/>
        </w:numPr>
        <w:autoSpaceDE w:val="0"/>
        <w:autoSpaceDN w:val="0"/>
        <w:adjustRightInd w:val="0"/>
        <w:spacing w:after="120"/>
        <w:jc w:val="both"/>
        <w:rPr>
          <w:rFonts w:ascii="Arial" w:hAnsi="Arial" w:cs="Arial"/>
          <w:sz w:val="22"/>
          <w:szCs w:val="22"/>
        </w:rPr>
      </w:pPr>
      <w:r w:rsidRPr="001E4124">
        <w:rPr>
          <w:rFonts w:ascii="Arial" w:hAnsi="Arial" w:cs="Arial"/>
          <w:sz w:val="22"/>
          <w:szCs w:val="22"/>
        </w:rPr>
        <w:t>It is not clear to us what the difference is between PFCC (referred to in para 4.9 for example) and PCC FRA (paragraph 4.10). Are these not the same entity? If so it would be useful to refer to them by a single term. If not, the difference needs to be explained.</w:t>
      </w:r>
    </w:p>
    <w:p w14:paraId="62343D81" w14:textId="77777777" w:rsidR="00FE2E1F" w:rsidRPr="00FE2E1F" w:rsidRDefault="00FE2E1F" w:rsidP="00FE2E1F">
      <w:pPr>
        <w:pStyle w:val="ListParagraph"/>
        <w:rPr>
          <w:rFonts w:ascii="Arial" w:hAnsi="Arial" w:cs="Arial"/>
          <w:sz w:val="22"/>
          <w:szCs w:val="22"/>
        </w:rPr>
      </w:pPr>
    </w:p>
    <w:p w14:paraId="1AFCD3B1" w14:textId="77777777" w:rsidR="001E4124" w:rsidRDefault="001E4124" w:rsidP="00FE2E1F">
      <w:pPr>
        <w:pStyle w:val="ListParagraph"/>
        <w:numPr>
          <w:ilvl w:val="1"/>
          <w:numId w:val="18"/>
        </w:numPr>
        <w:autoSpaceDE w:val="0"/>
        <w:autoSpaceDN w:val="0"/>
        <w:adjustRightInd w:val="0"/>
        <w:spacing w:after="120"/>
        <w:ind w:hanging="508"/>
        <w:jc w:val="both"/>
        <w:rPr>
          <w:rFonts w:ascii="Arial" w:hAnsi="Arial" w:cs="Arial"/>
          <w:sz w:val="22"/>
          <w:szCs w:val="22"/>
        </w:rPr>
      </w:pPr>
      <w:r w:rsidRPr="001E4124">
        <w:rPr>
          <w:rFonts w:ascii="Arial" w:hAnsi="Arial" w:cs="Arial"/>
          <w:sz w:val="22"/>
          <w:szCs w:val="22"/>
        </w:rPr>
        <w:t>The requirement that ‘all fire and rescue authorities must implement the standards approved through [the professional standards body]’ (paragraph 6.4) is at odds with the Home office’s view, stated to us previously that the PSB is something the sector has decided to do and constitutes a new burden.</w:t>
      </w:r>
    </w:p>
    <w:p w14:paraId="728EEC04" w14:textId="77777777" w:rsidR="00FE2E1F" w:rsidRPr="00FE2E1F" w:rsidRDefault="00FE2E1F" w:rsidP="00FE2E1F">
      <w:pPr>
        <w:pStyle w:val="ListParagraph"/>
        <w:rPr>
          <w:rFonts w:ascii="Arial" w:hAnsi="Arial" w:cs="Arial"/>
          <w:sz w:val="22"/>
          <w:szCs w:val="22"/>
        </w:rPr>
      </w:pPr>
    </w:p>
    <w:p w14:paraId="23ADF9F1" w14:textId="718E58FA" w:rsidR="00FE0C0A" w:rsidRPr="00504D62" w:rsidRDefault="00FE2E1F" w:rsidP="00504D62">
      <w:pPr>
        <w:pStyle w:val="ListParagraph"/>
        <w:numPr>
          <w:ilvl w:val="1"/>
          <w:numId w:val="18"/>
        </w:numPr>
        <w:autoSpaceDE w:val="0"/>
        <w:autoSpaceDN w:val="0"/>
        <w:adjustRightInd w:val="0"/>
        <w:spacing w:after="120"/>
        <w:ind w:hanging="508"/>
        <w:jc w:val="both"/>
        <w:rPr>
          <w:rFonts w:ascii="Arial" w:hAnsi="Arial" w:cs="Arial"/>
          <w:sz w:val="22"/>
          <w:szCs w:val="22"/>
        </w:rPr>
      </w:pPr>
      <w:r>
        <w:rPr>
          <w:rFonts w:ascii="Arial" w:hAnsi="Arial" w:cs="Arial"/>
          <w:sz w:val="22"/>
          <w:szCs w:val="22"/>
        </w:rPr>
        <w:lastRenderedPageBreak/>
        <w:t>While we support the section</w:t>
      </w:r>
      <w:r w:rsidR="00504D62">
        <w:rPr>
          <w:rFonts w:ascii="Arial" w:hAnsi="Arial" w:cs="Arial"/>
          <w:sz w:val="22"/>
          <w:szCs w:val="22"/>
        </w:rPr>
        <w:t xml:space="preserve"> on the re-engagement of senior officers (6.6 – 6.10) in principle, we are concerned about how it could interact with other requirements. Specifically, consideration needs to be given to how this approach relates to government proposals on the reform of exit payments and the ‘appointment on merit’ principles in the Local Government and Housing Act 1989, which would affect county services.</w:t>
      </w:r>
    </w:p>
    <w:sectPr w:rsidR="00FE0C0A" w:rsidRPr="00504D62" w:rsidSect="00DC628E">
      <w:headerReference w:type="default" r:id="rId12"/>
      <w:type w:val="continuous"/>
      <w:pgSz w:w="11906" w:h="16838"/>
      <w:pgMar w:top="839" w:right="2495" w:bottom="1276"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786CE" w14:textId="77777777" w:rsidR="00535355" w:rsidRDefault="00535355">
      <w:r>
        <w:separator/>
      </w:r>
    </w:p>
  </w:endnote>
  <w:endnote w:type="continuationSeparator" w:id="0">
    <w:p w14:paraId="517AE356" w14:textId="77777777" w:rsidR="00535355" w:rsidRDefault="0053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FF270172-1934-4EAB-9C31-D264EDAE948C}"/>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3DE97FB-4B0B-40AA-BDA9-2AE07897A23C}"/>
  </w:font>
  <w:font w:name="Verdana">
    <w:panose1 w:val="020B0604030504040204"/>
    <w:charset w:val="00"/>
    <w:family w:val="swiss"/>
    <w:pitch w:val="variable"/>
    <w:sig w:usb0="A10006FF" w:usb1="4000205B" w:usb2="00000010" w:usb3="00000000" w:csb0="0000019F" w:csb1="00000000"/>
    <w:embedRegular r:id="rId3" w:fontKey="{384067A4-F825-4921-973F-A72CD61A2C41}"/>
  </w:font>
  <w:font w:name="Calibri">
    <w:panose1 w:val="020F0502020204030204"/>
    <w:charset w:val="00"/>
    <w:family w:val="swiss"/>
    <w:pitch w:val="variable"/>
    <w:sig w:usb0="E00002FF" w:usb1="4000ACFF" w:usb2="00000001" w:usb3="00000000" w:csb0="0000019F" w:csb1="00000000"/>
    <w:embedRegular r:id="rId4" w:fontKey="{45E0EA65-4896-4870-91ED-B3D13FC60F91}"/>
    <w:embedBold r:id="rId5" w:fontKey="{B9BD592E-BF63-49A6-94DA-96C9C20904A5}"/>
  </w:font>
  <w:font w:name="Cambria">
    <w:panose1 w:val="02040503050406030204"/>
    <w:charset w:val="00"/>
    <w:family w:val="roman"/>
    <w:pitch w:val="variable"/>
    <w:sig w:usb0="E00002FF" w:usb1="400004FF" w:usb2="00000000" w:usb3="00000000" w:csb0="0000019F" w:csb1="00000000"/>
    <w:embedRegular r:id="rId6" w:fontKey="{99BF7358-A6A2-46D2-AA16-62C9BDCB4C1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0F0C3" w14:textId="77777777" w:rsidR="00535355" w:rsidRDefault="00535355">
      <w:r>
        <w:separator/>
      </w:r>
    </w:p>
  </w:footnote>
  <w:footnote w:type="continuationSeparator" w:id="0">
    <w:p w14:paraId="500E6BDF" w14:textId="77777777" w:rsidR="00535355" w:rsidRDefault="00535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535355" w14:paraId="6A34E206" w14:textId="77777777">
      <w:trPr>
        <w:cantSplit/>
        <w:trHeight w:hRule="exact" w:val="5273"/>
      </w:trPr>
      <w:tc>
        <w:tcPr>
          <w:tcW w:w="993" w:type="dxa"/>
          <w:textDirection w:val="btLr"/>
          <w:vAlign w:val="bottom"/>
        </w:tcPr>
        <w:p w14:paraId="57A1833F" w14:textId="77777777" w:rsidR="00535355" w:rsidRPr="00C9479A" w:rsidRDefault="00535355"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7A8EE680" wp14:editId="572DAF84">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F20F8"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535355" w14:paraId="4E1A91D3" w14:textId="77777777">
      <w:trPr>
        <w:cantSplit/>
        <w:trHeight w:hRule="exact" w:val="5670"/>
      </w:trPr>
      <w:tc>
        <w:tcPr>
          <w:tcW w:w="993" w:type="dxa"/>
          <w:textDirection w:val="btLr"/>
          <w:vAlign w:val="bottom"/>
        </w:tcPr>
        <w:p w14:paraId="09CFEDBA" w14:textId="77777777" w:rsidR="00535355" w:rsidRDefault="00535355">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08DFC17B" w14:textId="77777777" w:rsidR="00535355" w:rsidRPr="00C416F5" w:rsidRDefault="00535355">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0B0E350C" w14:textId="77777777" w:rsidR="00535355" w:rsidRPr="00C416F5" w:rsidRDefault="00535355">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B15CB07" w14:textId="77777777" w:rsidR="00535355" w:rsidRDefault="00535355">
          <w:pPr>
            <w:pStyle w:val="Address2"/>
            <w:framePr w:wrap="around"/>
          </w:pPr>
          <w:r>
            <w:rPr>
              <w:rFonts w:ascii="Arial" w:hAnsi="Arial" w:cs="Arial"/>
            </w:rPr>
            <w:t>www.local</w:t>
          </w:r>
          <w:r w:rsidRPr="00C416F5">
            <w:rPr>
              <w:rFonts w:ascii="Arial" w:hAnsi="Arial" w:cs="Arial"/>
            </w:rPr>
            <w:t>.gov.uk</w:t>
          </w:r>
        </w:p>
      </w:tc>
    </w:tr>
  </w:tbl>
  <w:tbl>
    <w:tblPr>
      <w:tblW w:w="9071" w:type="dxa"/>
      <w:tblCellMar>
        <w:left w:w="10" w:type="dxa"/>
        <w:right w:w="10" w:type="dxa"/>
      </w:tblCellMar>
      <w:tblLook w:val="04A0" w:firstRow="1" w:lastRow="0" w:firstColumn="1" w:lastColumn="0" w:noHBand="0" w:noVBand="1"/>
    </w:tblPr>
    <w:tblGrid>
      <w:gridCol w:w="5912"/>
      <w:gridCol w:w="3159"/>
    </w:tblGrid>
    <w:tr w:rsidR="00FE2E1F" w14:paraId="49253769" w14:textId="77777777" w:rsidTr="003F1136">
      <w:tc>
        <w:tcPr>
          <w:tcW w:w="5912" w:type="dxa"/>
          <w:vMerge w:val="restart"/>
          <w:shd w:val="clear" w:color="auto" w:fill="auto"/>
          <w:tcMar>
            <w:top w:w="0" w:type="dxa"/>
            <w:left w:w="108" w:type="dxa"/>
            <w:bottom w:w="0" w:type="dxa"/>
            <w:right w:w="108" w:type="dxa"/>
          </w:tcMar>
        </w:tcPr>
        <w:p w14:paraId="218710E3" w14:textId="77777777" w:rsidR="00FE2E1F" w:rsidRDefault="00FE2E1F" w:rsidP="00FE2E1F">
          <w:pPr>
            <w:pStyle w:val="Header"/>
            <w:tabs>
              <w:tab w:val="clear" w:pos="4153"/>
              <w:tab w:val="clear" w:pos="8306"/>
              <w:tab w:val="center" w:pos="2923"/>
            </w:tabs>
            <w:rPr>
              <w:rFonts w:ascii="Arial" w:hAnsi="Arial" w:cs="Arial"/>
              <w:sz w:val="44"/>
              <w:szCs w:val="44"/>
            </w:rPr>
          </w:pPr>
        </w:p>
        <w:p w14:paraId="53C5360E" w14:textId="77777777" w:rsidR="00DB7A61" w:rsidRDefault="00DB7A61" w:rsidP="00FE2E1F">
          <w:pPr>
            <w:pStyle w:val="Header"/>
            <w:tabs>
              <w:tab w:val="clear" w:pos="4153"/>
              <w:tab w:val="clear" w:pos="8306"/>
              <w:tab w:val="center" w:pos="2923"/>
            </w:tabs>
            <w:rPr>
              <w:rFonts w:ascii="Arial" w:hAnsi="Arial" w:cs="Arial"/>
              <w:sz w:val="44"/>
              <w:szCs w:val="44"/>
            </w:rPr>
          </w:pPr>
        </w:p>
        <w:p w14:paraId="559FA4B6" w14:textId="77777777" w:rsidR="00FE2E1F" w:rsidRDefault="00FE2E1F" w:rsidP="00FE2E1F">
          <w:pPr>
            <w:pStyle w:val="Header"/>
            <w:tabs>
              <w:tab w:val="clear" w:pos="4153"/>
              <w:tab w:val="clear" w:pos="8306"/>
              <w:tab w:val="center" w:pos="2923"/>
            </w:tabs>
            <w:rPr>
              <w:rFonts w:ascii="Arial" w:hAnsi="Arial" w:cs="Arial"/>
              <w:sz w:val="44"/>
              <w:szCs w:val="44"/>
            </w:rPr>
          </w:pPr>
        </w:p>
        <w:p w14:paraId="687EC88F" w14:textId="77777777" w:rsidR="00FE2E1F" w:rsidRDefault="00FE2E1F" w:rsidP="00FE2E1F">
          <w:pPr>
            <w:pStyle w:val="Header"/>
            <w:tabs>
              <w:tab w:val="clear" w:pos="4153"/>
              <w:tab w:val="clear" w:pos="8306"/>
              <w:tab w:val="center" w:pos="2923"/>
            </w:tabs>
            <w:rPr>
              <w:rFonts w:ascii="Arial" w:hAnsi="Arial" w:cs="Arial"/>
              <w:sz w:val="44"/>
              <w:szCs w:val="44"/>
            </w:rPr>
          </w:pPr>
        </w:p>
        <w:p w14:paraId="62E10C1C" w14:textId="77777777" w:rsidR="00FE2E1F" w:rsidRDefault="00FE2E1F" w:rsidP="00FE2E1F">
          <w:pPr>
            <w:pStyle w:val="Header"/>
            <w:tabs>
              <w:tab w:val="clear" w:pos="4153"/>
              <w:tab w:val="clear" w:pos="8306"/>
              <w:tab w:val="center" w:pos="2923"/>
            </w:tabs>
            <w:rPr>
              <w:rFonts w:ascii="Arial" w:hAnsi="Arial" w:cs="Arial"/>
              <w:sz w:val="44"/>
              <w:szCs w:val="44"/>
            </w:rPr>
          </w:pPr>
        </w:p>
        <w:p w14:paraId="6E9A792B" w14:textId="77777777" w:rsidR="00FE2E1F" w:rsidRDefault="00FE2E1F" w:rsidP="00FE2E1F">
          <w:pPr>
            <w:pStyle w:val="Header"/>
            <w:tabs>
              <w:tab w:val="clear" w:pos="4153"/>
              <w:tab w:val="clear" w:pos="8306"/>
              <w:tab w:val="center" w:pos="2923"/>
            </w:tabs>
            <w:rPr>
              <w:rFonts w:ascii="Arial" w:hAnsi="Arial" w:cs="Arial"/>
              <w:sz w:val="44"/>
              <w:szCs w:val="44"/>
            </w:rPr>
          </w:pPr>
        </w:p>
        <w:p w14:paraId="49359D39" w14:textId="77777777" w:rsidR="00FE2E1F" w:rsidRDefault="00FE2E1F" w:rsidP="00FE2E1F">
          <w:pPr>
            <w:pStyle w:val="Header"/>
            <w:tabs>
              <w:tab w:val="clear" w:pos="4153"/>
              <w:tab w:val="clear" w:pos="8306"/>
              <w:tab w:val="center" w:pos="2923"/>
            </w:tabs>
          </w:pPr>
          <w:r>
            <w:rPr>
              <w:noProof/>
              <w:lang w:eastAsia="en-GB"/>
            </w:rPr>
            <w:drawing>
              <wp:inline distT="0" distB="0" distL="0" distR="0" wp14:anchorId="38E3C997" wp14:editId="15B98997">
                <wp:extent cx="1247771" cy="752478"/>
                <wp:effectExtent l="0" t="0" r="0" b="9522"/>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247771" cy="752478"/>
                        </a:xfrm>
                        <a:prstGeom prst="rect">
                          <a:avLst/>
                        </a:prstGeom>
                        <a:noFill/>
                        <a:ln>
                          <a:noFill/>
                          <a:prstDash/>
                        </a:ln>
                      </pic:spPr>
                    </pic:pic>
                  </a:graphicData>
                </a:graphic>
              </wp:inline>
            </w:drawing>
          </w:r>
          <w:r>
            <w:rPr>
              <w:rFonts w:ascii="Arial" w:hAnsi="Arial" w:cs="Arial"/>
              <w:sz w:val="44"/>
              <w:szCs w:val="44"/>
            </w:rPr>
            <w:tab/>
          </w:r>
        </w:p>
      </w:tc>
      <w:tc>
        <w:tcPr>
          <w:tcW w:w="3159" w:type="dxa"/>
          <w:shd w:val="clear" w:color="auto" w:fill="auto"/>
          <w:tcMar>
            <w:top w:w="0" w:type="dxa"/>
            <w:left w:w="108" w:type="dxa"/>
            <w:bottom w:w="0" w:type="dxa"/>
            <w:right w:w="108" w:type="dxa"/>
          </w:tcMar>
        </w:tcPr>
        <w:p w14:paraId="37274F26" w14:textId="77777777" w:rsidR="00FE2E1F" w:rsidRDefault="00FE2E1F" w:rsidP="00FE2E1F">
          <w:pPr>
            <w:pStyle w:val="Header"/>
            <w:rPr>
              <w:rFonts w:ascii="Arial" w:hAnsi="Arial" w:cs="Arial"/>
              <w:b/>
              <w:szCs w:val="22"/>
            </w:rPr>
          </w:pPr>
        </w:p>
        <w:p w14:paraId="4FB7901A" w14:textId="77777777" w:rsidR="00DB7A61" w:rsidRDefault="00DB7A61" w:rsidP="00FE2E1F">
          <w:pPr>
            <w:pStyle w:val="Header"/>
            <w:rPr>
              <w:rFonts w:ascii="Arial" w:hAnsi="Arial" w:cs="Arial"/>
              <w:b/>
              <w:szCs w:val="22"/>
            </w:rPr>
          </w:pPr>
        </w:p>
        <w:p w14:paraId="28DD74AA" w14:textId="77777777" w:rsidR="00FE2E1F" w:rsidRDefault="00FE2E1F" w:rsidP="00FE2E1F">
          <w:pPr>
            <w:pStyle w:val="Header"/>
            <w:rPr>
              <w:rFonts w:ascii="Arial" w:hAnsi="Arial" w:cs="Arial"/>
              <w:b/>
              <w:szCs w:val="22"/>
            </w:rPr>
          </w:pPr>
          <w:r>
            <w:rPr>
              <w:rFonts w:ascii="Arial" w:hAnsi="Arial" w:cs="Arial"/>
              <w:b/>
              <w:szCs w:val="22"/>
            </w:rPr>
            <w:t>Fire Services Management Committee</w:t>
          </w:r>
        </w:p>
        <w:p w14:paraId="52D1793F" w14:textId="77777777" w:rsidR="00FE2E1F" w:rsidRDefault="00FE2E1F" w:rsidP="00FE2E1F">
          <w:pPr>
            <w:pStyle w:val="Header"/>
          </w:pPr>
        </w:p>
      </w:tc>
    </w:tr>
    <w:tr w:rsidR="00FE2E1F" w14:paraId="2DE803BA" w14:textId="77777777" w:rsidTr="003F1136">
      <w:trPr>
        <w:trHeight w:val="450"/>
      </w:trPr>
      <w:tc>
        <w:tcPr>
          <w:tcW w:w="5912" w:type="dxa"/>
          <w:vMerge/>
          <w:shd w:val="clear" w:color="auto" w:fill="auto"/>
          <w:tcMar>
            <w:top w:w="0" w:type="dxa"/>
            <w:left w:w="108" w:type="dxa"/>
            <w:bottom w:w="0" w:type="dxa"/>
            <w:right w:w="108" w:type="dxa"/>
          </w:tcMar>
        </w:tcPr>
        <w:p w14:paraId="33CB8299" w14:textId="77777777" w:rsidR="00FE2E1F" w:rsidRDefault="00FE2E1F" w:rsidP="00FE2E1F">
          <w:pPr>
            <w:pStyle w:val="Header"/>
          </w:pPr>
        </w:p>
      </w:tc>
      <w:tc>
        <w:tcPr>
          <w:tcW w:w="3159" w:type="dxa"/>
          <w:shd w:val="clear" w:color="auto" w:fill="auto"/>
          <w:tcMar>
            <w:top w:w="0" w:type="dxa"/>
            <w:left w:w="108" w:type="dxa"/>
            <w:bottom w:w="0" w:type="dxa"/>
            <w:right w:w="108" w:type="dxa"/>
          </w:tcMar>
        </w:tcPr>
        <w:p w14:paraId="215DFE0D" w14:textId="77777777" w:rsidR="00FE2E1F" w:rsidRDefault="00FE2E1F" w:rsidP="00FE2E1F">
          <w:pPr>
            <w:pStyle w:val="Header"/>
            <w:spacing w:before="60"/>
          </w:pPr>
          <w:r>
            <w:rPr>
              <w:rFonts w:ascii="Arial" w:hAnsi="Arial" w:cs="Arial"/>
              <w:szCs w:val="22"/>
            </w:rPr>
            <w:t>12 March 2018</w:t>
          </w:r>
        </w:p>
      </w:tc>
    </w:tr>
  </w:tbl>
  <w:p w14:paraId="6C593406" w14:textId="77777777" w:rsidR="00535355" w:rsidRDefault="00535355">
    <w:pPr>
      <w:pStyle w:val="Header"/>
    </w:pPr>
    <w:r>
      <w:rPr>
        <w:noProof/>
        <w:lang w:eastAsia="en-GB"/>
      </w:rPr>
      <mc:AlternateContent>
        <mc:Choice Requires="wps">
          <w:drawing>
            <wp:anchor distT="0" distB="0" distL="114300" distR="114300" simplePos="0" relativeHeight="251656704" behindDoc="0" locked="0" layoutInCell="0" allowOverlap="1" wp14:anchorId="0EB32DE7" wp14:editId="0AF4AD52">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9D151" w14:textId="009A59DC" w:rsidR="00535355" w:rsidRDefault="00535355" w:rsidP="00B54126">
                          <w:pPr>
                            <w:pStyle w:val="Logo"/>
                            <w:jc w:val="cente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B32DE7"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67A9D151" w14:textId="009A59DC" w:rsidR="00535355" w:rsidRDefault="00535355" w:rsidP="00B54126">
                    <w:pPr>
                      <w:pStyle w:val="Logo"/>
                      <w:jc w:val="cente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0C328" w14:textId="77777777" w:rsidR="00DB7A61" w:rsidRDefault="00DB7A61"/>
  <w:tbl>
    <w:tblPr>
      <w:tblW w:w="9071" w:type="dxa"/>
      <w:tblCellMar>
        <w:left w:w="10" w:type="dxa"/>
        <w:right w:w="10" w:type="dxa"/>
      </w:tblCellMar>
      <w:tblLook w:val="04A0" w:firstRow="1" w:lastRow="0" w:firstColumn="1" w:lastColumn="0" w:noHBand="0" w:noVBand="1"/>
    </w:tblPr>
    <w:tblGrid>
      <w:gridCol w:w="5912"/>
      <w:gridCol w:w="3159"/>
    </w:tblGrid>
    <w:tr w:rsidR="00FE2E1F" w14:paraId="04B007A7" w14:textId="77777777" w:rsidTr="003F1136">
      <w:tc>
        <w:tcPr>
          <w:tcW w:w="5912" w:type="dxa"/>
          <w:vMerge w:val="restart"/>
          <w:shd w:val="clear" w:color="auto" w:fill="auto"/>
          <w:tcMar>
            <w:top w:w="0" w:type="dxa"/>
            <w:left w:w="108" w:type="dxa"/>
            <w:bottom w:w="0" w:type="dxa"/>
            <w:right w:w="108" w:type="dxa"/>
          </w:tcMar>
        </w:tcPr>
        <w:p w14:paraId="4079A7A0" w14:textId="77777777" w:rsidR="00FE2E1F" w:rsidRDefault="00FE2E1F" w:rsidP="00FE2E1F">
          <w:pPr>
            <w:pStyle w:val="Header"/>
            <w:tabs>
              <w:tab w:val="clear" w:pos="4153"/>
              <w:tab w:val="clear" w:pos="8306"/>
              <w:tab w:val="center" w:pos="2923"/>
            </w:tabs>
            <w:rPr>
              <w:rFonts w:ascii="Arial" w:hAnsi="Arial" w:cs="Arial"/>
              <w:sz w:val="44"/>
              <w:szCs w:val="44"/>
            </w:rPr>
          </w:pPr>
        </w:p>
        <w:p w14:paraId="16206D95" w14:textId="77777777" w:rsidR="00FE2E1F" w:rsidRDefault="00FE2E1F" w:rsidP="00FE2E1F">
          <w:pPr>
            <w:pStyle w:val="Header"/>
            <w:tabs>
              <w:tab w:val="clear" w:pos="4153"/>
              <w:tab w:val="clear" w:pos="8306"/>
              <w:tab w:val="center" w:pos="2923"/>
            </w:tabs>
            <w:rPr>
              <w:rFonts w:ascii="Arial" w:hAnsi="Arial" w:cs="Arial"/>
              <w:sz w:val="44"/>
              <w:szCs w:val="44"/>
            </w:rPr>
          </w:pPr>
        </w:p>
        <w:p w14:paraId="7518B967" w14:textId="77777777" w:rsidR="00FE2E1F" w:rsidRDefault="00FE2E1F" w:rsidP="00FE2E1F">
          <w:pPr>
            <w:pStyle w:val="Header"/>
            <w:tabs>
              <w:tab w:val="clear" w:pos="4153"/>
              <w:tab w:val="clear" w:pos="8306"/>
              <w:tab w:val="center" w:pos="2923"/>
            </w:tabs>
            <w:rPr>
              <w:rFonts w:ascii="Arial" w:hAnsi="Arial" w:cs="Arial"/>
              <w:sz w:val="44"/>
              <w:szCs w:val="44"/>
            </w:rPr>
          </w:pPr>
        </w:p>
        <w:p w14:paraId="508DA12C" w14:textId="77777777" w:rsidR="00FE2E1F" w:rsidRDefault="00FE2E1F" w:rsidP="00FE2E1F">
          <w:pPr>
            <w:pStyle w:val="Header"/>
            <w:tabs>
              <w:tab w:val="clear" w:pos="4153"/>
              <w:tab w:val="clear" w:pos="8306"/>
              <w:tab w:val="center" w:pos="2923"/>
            </w:tabs>
            <w:rPr>
              <w:rFonts w:ascii="Arial" w:hAnsi="Arial" w:cs="Arial"/>
              <w:sz w:val="44"/>
              <w:szCs w:val="44"/>
            </w:rPr>
          </w:pPr>
        </w:p>
        <w:p w14:paraId="646CFF75" w14:textId="77777777" w:rsidR="00FE2E1F" w:rsidRDefault="00FE2E1F" w:rsidP="00FE2E1F">
          <w:pPr>
            <w:pStyle w:val="Header"/>
            <w:tabs>
              <w:tab w:val="clear" w:pos="4153"/>
              <w:tab w:val="clear" w:pos="8306"/>
              <w:tab w:val="center" w:pos="2923"/>
            </w:tabs>
            <w:rPr>
              <w:rFonts w:ascii="Arial" w:hAnsi="Arial" w:cs="Arial"/>
              <w:sz w:val="44"/>
              <w:szCs w:val="44"/>
            </w:rPr>
          </w:pPr>
        </w:p>
        <w:p w14:paraId="4491099D" w14:textId="77777777" w:rsidR="00FE2E1F" w:rsidRDefault="00FE2E1F" w:rsidP="00FE2E1F">
          <w:pPr>
            <w:pStyle w:val="Header"/>
            <w:tabs>
              <w:tab w:val="clear" w:pos="4153"/>
              <w:tab w:val="clear" w:pos="8306"/>
              <w:tab w:val="center" w:pos="2923"/>
            </w:tabs>
          </w:pPr>
          <w:r>
            <w:rPr>
              <w:noProof/>
              <w:lang w:eastAsia="en-GB"/>
            </w:rPr>
            <w:drawing>
              <wp:inline distT="0" distB="0" distL="0" distR="0" wp14:anchorId="60AC428F" wp14:editId="4B824469">
                <wp:extent cx="1247771" cy="752478"/>
                <wp:effectExtent l="0" t="0" r="0" b="9522"/>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247771" cy="752478"/>
                        </a:xfrm>
                        <a:prstGeom prst="rect">
                          <a:avLst/>
                        </a:prstGeom>
                        <a:noFill/>
                        <a:ln>
                          <a:noFill/>
                          <a:prstDash/>
                        </a:ln>
                      </pic:spPr>
                    </pic:pic>
                  </a:graphicData>
                </a:graphic>
              </wp:inline>
            </w:drawing>
          </w:r>
          <w:r>
            <w:rPr>
              <w:rFonts w:ascii="Arial" w:hAnsi="Arial" w:cs="Arial"/>
              <w:sz w:val="44"/>
              <w:szCs w:val="44"/>
            </w:rPr>
            <w:tab/>
          </w:r>
        </w:p>
      </w:tc>
      <w:tc>
        <w:tcPr>
          <w:tcW w:w="3159" w:type="dxa"/>
          <w:shd w:val="clear" w:color="auto" w:fill="auto"/>
          <w:tcMar>
            <w:top w:w="0" w:type="dxa"/>
            <w:left w:w="108" w:type="dxa"/>
            <w:bottom w:w="0" w:type="dxa"/>
            <w:right w:w="108" w:type="dxa"/>
          </w:tcMar>
        </w:tcPr>
        <w:p w14:paraId="0B2AAB46" w14:textId="77777777" w:rsidR="00FE2E1F" w:rsidRDefault="00FE2E1F" w:rsidP="00FE2E1F">
          <w:pPr>
            <w:pStyle w:val="Header"/>
            <w:rPr>
              <w:rFonts w:ascii="Arial" w:hAnsi="Arial" w:cs="Arial"/>
              <w:b/>
              <w:szCs w:val="22"/>
            </w:rPr>
          </w:pPr>
        </w:p>
        <w:p w14:paraId="50200731" w14:textId="77777777" w:rsidR="00DB7A61" w:rsidRDefault="00DB7A61" w:rsidP="00FE2E1F">
          <w:pPr>
            <w:pStyle w:val="Header"/>
            <w:rPr>
              <w:rFonts w:ascii="Arial" w:hAnsi="Arial" w:cs="Arial"/>
              <w:b/>
              <w:szCs w:val="22"/>
            </w:rPr>
          </w:pPr>
        </w:p>
        <w:p w14:paraId="7EF94ABB" w14:textId="77777777" w:rsidR="00FE2E1F" w:rsidRDefault="00FE2E1F" w:rsidP="00FE2E1F">
          <w:pPr>
            <w:pStyle w:val="Header"/>
            <w:rPr>
              <w:rFonts w:ascii="Arial" w:hAnsi="Arial" w:cs="Arial"/>
              <w:b/>
              <w:szCs w:val="22"/>
            </w:rPr>
          </w:pPr>
          <w:r>
            <w:rPr>
              <w:rFonts w:ascii="Arial" w:hAnsi="Arial" w:cs="Arial"/>
              <w:b/>
              <w:szCs w:val="22"/>
            </w:rPr>
            <w:t>Fire Services Management Committee</w:t>
          </w:r>
        </w:p>
        <w:p w14:paraId="3CB4F1E1" w14:textId="77777777" w:rsidR="00FE2E1F" w:rsidRDefault="00FE2E1F" w:rsidP="00FE2E1F">
          <w:pPr>
            <w:pStyle w:val="Header"/>
          </w:pPr>
        </w:p>
      </w:tc>
    </w:tr>
    <w:tr w:rsidR="00FE2E1F" w14:paraId="38459685" w14:textId="77777777" w:rsidTr="003F1136">
      <w:trPr>
        <w:trHeight w:val="450"/>
      </w:trPr>
      <w:tc>
        <w:tcPr>
          <w:tcW w:w="5912" w:type="dxa"/>
          <w:vMerge/>
          <w:shd w:val="clear" w:color="auto" w:fill="auto"/>
          <w:tcMar>
            <w:top w:w="0" w:type="dxa"/>
            <w:left w:w="108" w:type="dxa"/>
            <w:bottom w:w="0" w:type="dxa"/>
            <w:right w:w="108" w:type="dxa"/>
          </w:tcMar>
        </w:tcPr>
        <w:p w14:paraId="70224D02" w14:textId="77777777" w:rsidR="00FE2E1F" w:rsidRDefault="00FE2E1F" w:rsidP="00FE2E1F">
          <w:pPr>
            <w:pStyle w:val="Header"/>
          </w:pPr>
        </w:p>
      </w:tc>
      <w:tc>
        <w:tcPr>
          <w:tcW w:w="3159" w:type="dxa"/>
          <w:shd w:val="clear" w:color="auto" w:fill="auto"/>
          <w:tcMar>
            <w:top w:w="0" w:type="dxa"/>
            <w:left w:w="108" w:type="dxa"/>
            <w:bottom w:w="0" w:type="dxa"/>
            <w:right w:w="108" w:type="dxa"/>
          </w:tcMar>
        </w:tcPr>
        <w:p w14:paraId="6EF14088" w14:textId="77777777" w:rsidR="00FE2E1F" w:rsidRDefault="00FE2E1F" w:rsidP="00FE2E1F">
          <w:pPr>
            <w:pStyle w:val="Header"/>
            <w:spacing w:before="60"/>
          </w:pPr>
          <w:r>
            <w:rPr>
              <w:rFonts w:ascii="Arial" w:hAnsi="Arial" w:cs="Arial"/>
              <w:szCs w:val="22"/>
            </w:rPr>
            <w:t>12 March 2018</w:t>
          </w:r>
        </w:p>
      </w:tc>
    </w:tr>
  </w:tbl>
  <w:p w14:paraId="38DF4198" w14:textId="77777777" w:rsidR="00535355" w:rsidRDefault="005353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43C197D"/>
    <w:multiLevelType w:val="hybridMultilevel"/>
    <w:tmpl w:val="10B8D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336C7F"/>
    <w:multiLevelType w:val="hybridMultilevel"/>
    <w:tmpl w:val="09DA6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BD7976"/>
    <w:multiLevelType w:val="hybridMultilevel"/>
    <w:tmpl w:val="D4AA2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4"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B7A4828"/>
    <w:multiLevelType w:val="multilevel"/>
    <w:tmpl w:val="F5B846A0"/>
    <w:lvl w:ilvl="0">
      <w:start w:val="1"/>
      <w:numFmt w:val="decimal"/>
      <w:lvlText w:val="%1."/>
      <w:lvlJc w:val="left"/>
      <w:pPr>
        <w:ind w:left="360" w:hanging="360"/>
      </w:pPr>
      <w:rPr>
        <w:b w:val="0"/>
        <w:color w:val="auto"/>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14"/>
  </w:num>
  <w:num w:numId="4">
    <w:abstractNumId w:val="7"/>
  </w:num>
  <w:num w:numId="5">
    <w:abstractNumId w:val="3"/>
  </w:num>
  <w:num w:numId="6">
    <w:abstractNumId w:val="6"/>
  </w:num>
  <w:num w:numId="7">
    <w:abstractNumId w:val="2"/>
  </w:num>
  <w:num w:numId="8">
    <w:abstractNumId w:val="16"/>
  </w:num>
  <w:num w:numId="9">
    <w:abstractNumId w:val="18"/>
  </w:num>
  <w:num w:numId="10">
    <w:abstractNumId w:val="11"/>
  </w:num>
  <w:num w:numId="11">
    <w:abstractNumId w:val="15"/>
  </w:num>
  <w:num w:numId="12">
    <w:abstractNumId w:val="10"/>
  </w:num>
  <w:num w:numId="13">
    <w:abstractNumId w:val="9"/>
  </w:num>
  <w:num w:numId="14">
    <w:abstractNumId w:val="4"/>
  </w:num>
  <w:num w:numId="15">
    <w:abstractNumId w:val="12"/>
  </w:num>
  <w:num w:numId="16">
    <w:abstractNumId w:val="5"/>
  </w:num>
  <w:num w:numId="17">
    <w:abstractNumId w:val="1"/>
  </w:num>
  <w:num w:numId="18">
    <w:abstractNumId w:val="17"/>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55C9"/>
    <w:rsid w:val="00022C97"/>
    <w:rsid w:val="00025436"/>
    <w:rsid w:val="00046107"/>
    <w:rsid w:val="000627D3"/>
    <w:rsid w:val="0007427B"/>
    <w:rsid w:val="000C4E67"/>
    <w:rsid w:val="000C5404"/>
    <w:rsid w:val="000E3A79"/>
    <w:rsid w:val="00102889"/>
    <w:rsid w:val="00104307"/>
    <w:rsid w:val="00132FB4"/>
    <w:rsid w:val="0014785D"/>
    <w:rsid w:val="001659D7"/>
    <w:rsid w:val="001A3138"/>
    <w:rsid w:val="001B40B4"/>
    <w:rsid w:val="001E4124"/>
    <w:rsid w:val="001E43F7"/>
    <w:rsid w:val="001E4559"/>
    <w:rsid w:val="00210748"/>
    <w:rsid w:val="00211A01"/>
    <w:rsid w:val="00225477"/>
    <w:rsid w:val="00236008"/>
    <w:rsid w:val="00262F66"/>
    <w:rsid w:val="002E0171"/>
    <w:rsid w:val="002E0CF0"/>
    <w:rsid w:val="00306D21"/>
    <w:rsid w:val="00324DCA"/>
    <w:rsid w:val="003873C7"/>
    <w:rsid w:val="003D0BBB"/>
    <w:rsid w:val="003D4EE8"/>
    <w:rsid w:val="003D61F8"/>
    <w:rsid w:val="00417F41"/>
    <w:rsid w:val="0042149F"/>
    <w:rsid w:val="004322BB"/>
    <w:rsid w:val="00460F47"/>
    <w:rsid w:val="004C0B20"/>
    <w:rsid w:val="004D36CF"/>
    <w:rsid w:val="004F481A"/>
    <w:rsid w:val="00502886"/>
    <w:rsid w:val="00504D62"/>
    <w:rsid w:val="00505DA4"/>
    <w:rsid w:val="005065EA"/>
    <w:rsid w:val="00511B79"/>
    <w:rsid w:val="00535355"/>
    <w:rsid w:val="005814D6"/>
    <w:rsid w:val="005841BD"/>
    <w:rsid w:val="005F4718"/>
    <w:rsid w:val="005F650E"/>
    <w:rsid w:val="006205D4"/>
    <w:rsid w:val="006276F9"/>
    <w:rsid w:val="00640866"/>
    <w:rsid w:val="00663259"/>
    <w:rsid w:val="00666340"/>
    <w:rsid w:val="00681DC6"/>
    <w:rsid w:val="006854A3"/>
    <w:rsid w:val="00690D4C"/>
    <w:rsid w:val="006D71C7"/>
    <w:rsid w:val="006E2886"/>
    <w:rsid w:val="006F2836"/>
    <w:rsid w:val="00726185"/>
    <w:rsid w:val="007451C0"/>
    <w:rsid w:val="007626E3"/>
    <w:rsid w:val="00776435"/>
    <w:rsid w:val="00793ADA"/>
    <w:rsid w:val="007B45E3"/>
    <w:rsid w:val="007D28FC"/>
    <w:rsid w:val="007E3DCE"/>
    <w:rsid w:val="00813357"/>
    <w:rsid w:val="00820B74"/>
    <w:rsid w:val="00834ADF"/>
    <w:rsid w:val="008C599D"/>
    <w:rsid w:val="008D350A"/>
    <w:rsid w:val="008F7959"/>
    <w:rsid w:val="00904DC0"/>
    <w:rsid w:val="00906791"/>
    <w:rsid w:val="00985BB8"/>
    <w:rsid w:val="009A3087"/>
    <w:rsid w:val="009C52A1"/>
    <w:rsid w:val="009D6AC4"/>
    <w:rsid w:val="00A215A2"/>
    <w:rsid w:val="00A26A79"/>
    <w:rsid w:val="00A30546"/>
    <w:rsid w:val="00A56507"/>
    <w:rsid w:val="00A733F1"/>
    <w:rsid w:val="00AE5B29"/>
    <w:rsid w:val="00B42F87"/>
    <w:rsid w:val="00B54126"/>
    <w:rsid w:val="00B641C5"/>
    <w:rsid w:val="00B64693"/>
    <w:rsid w:val="00BB3602"/>
    <w:rsid w:val="00BD165D"/>
    <w:rsid w:val="00C416F5"/>
    <w:rsid w:val="00C554CD"/>
    <w:rsid w:val="00C63BB3"/>
    <w:rsid w:val="00C9479A"/>
    <w:rsid w:val="00CB21EC"/>
    <w:rsid w:val="00CB7A96"/>
    <w:rsid w:val="00CC7534"/>
    <w:rsid w:val="00CD2E34"/>
    <w:rsid w:val="00D21512"/>
    <w:rsid w:val="00D32E4A"/>
    <w:rsid w:val="00DA7BA3"/>
    <w:rsid w:val="00DB3A1B"/>
    <w:rsid w:val="00DB6879"/>
    <w:rsid w:val="00DB7A61"/>
    <w:rsid w:val="00DC628E"/>
    <w:rsid w:val="00DD4FA2"/>
    <w:rsid w:val="00E01A58"/>
    <w:rsid w:val="00E30B3C"/>
    <w:rsid w:val="00E33B6E"/>
    <w:rsid w:val="00E86E98"/>
    <w:rsid w:val="00E93832"/>
    <w:rsid w:val="00F00F64"/>
    <w:rsid w:val="00FC3C6E"/>
    <w:rsid w:val="00FE0C0A"/>
    <w:rsid w:val="00FE2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2CCBAA4"/>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DB6879"/>
    <w:pPr>
      <w:widowControl/>
      <w:spacing w:line="240" w:lineRule="auto"/>
      <w:ind w:left="720"/>
    </w:pPr>
    <w:rPr>
      <w:rFonts w:ascii="Verdana" w:eastAsiaTheme="minorHAnsi" w:hAnsi="Verdana"/>
      <w:sz w:val="24"/>
      <w:szCs w:val="24"/>
      <w:lang w:eastAsia="en-GB"/>
    </w:rPr>
  </w:style>
  <w:style w:type="paragraph" w:styleId="FootnoteText">
    <w:name w:val="footnote text"/>
    <w:basedOn w:val="Normal"/>
    <w:link w:val="FootnoteTextChar"/>
    <w:semiHidden/>
    <w:unhideWhenUsed/>
    <w:rsid w:val="00DB6879"/>
    <w:pPr>
      <w:spacing w:line="240" w:lineRule="auto"/>
    </w:pPr>
    <w:rPr>
      <w:sz w:val="20"/>
    </w:rPr>
  </w:style>
  <w:style w:type="character" w:customStyle="1" w:styleId="FootnoteTextChar">
    <w:name w:val="Footnote Text Char"/>
    <w:basedOn w:val="DefaultParagraphFont"/>
    <w:link w:val="FootnoteText"/>
    <w:semiHidden/>
    <w:rsid w:val="00DB6879"/>
    <w:rPr>
      <w:rFonts w:ascii="Frutiger 45 Light" w:hAnsi="Frutiger 45 Light"/>
      <w:lang w:eastAsia="en-US"/>
    </w:rPr>
  </w:style>
  <w:style w:type="character" w:styleId="FootnoteReference">
    <w:name w:val="footnote reference"/>
    <w:basedOn w:val="DefaultParagraphFont"/>
    <w:semiHidden/>
    <w:unhideWhenUsed/>
    <w:rsid w:val="00DB6879"/>
    <w:rPr>
      <w:vertAlign w:val="superscript"/>
    </w:rPr>
  </w:style>
  <w:style w:type="character" w:styleId="CommentReference">
    <w:name w:val="annotation reference"/>
    <w:basedOn w:val="DefaultParagraphFont"/>
    <w:semiHidden/>
    <w:unhideWhenUsed/>
    <w:rsid w:val="00D32E4A"/>
    <w:rPr>
      <w:sz w:val="16"/>
      <w:szCs w:val="16"/>
    </w:rPr>
  </w:style>
  <w:style w:type="paragraph" w:styleId="CommentText">
    <w:name w:val="annotation text"/>
    <w:basedOn w:val="Normal"/>
    <w:link w:val="CommentTextChar"/>
    <w:semiHidden/>
    <w:unhideWhenUsed/>
    <w:rsid w:val="00D32E4A"/>
    <w:pPr>
      <w:spacing w:line="240" w:lineRule="auto"/>
    </w:pPr>
    <w:rPr>
      <w:sz w:val="20"/>
    </w:rPr>
  </w:style>
  <w:style w:type="character" w:customStyle="1" w:styleId="CommentTextChar">
    <w:name w:val="Comment Text Char"/>
    <w:basedOn w:val="DefaultParagraphFont"/>
    <w:link w:val="CommentText"/>
    <w:semiHidden/>
    <w:rsid w:val="00D32E4A"/>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D32E4A"/>
    <w:rPr>
      <w:b/>
      <w:bCs/>
    </w:rPr>
  </w:style>
  <w:style w:type="character" w:customStyle="1" w:styleId="CommentSubjectChar">
    <w:name w:val="Comment Subject Char"/>
    <w:basedOn w:val="CommentTextChar"/>
    <w:link w:val="CommentSubject"/>
    <w:semiHidden/>
    <w:rsid w:val="00D32E4A"/>
    <w:rPr>
      <w:rFonts w:ascii="Frutiger 45 Light" w:hAnsi="Frutiger 45 Light"/>
      <w:b/>
      <w:bCs/>
      <w:lang w:eastAsia="en-US"/>
    </w:rPr>
  </w:style>
  <w:style w:type="paragraph" w:customStyle="1" w:styleId="Default">
    <w:name w:val="Default"/>
    <w:rsid w:val="00C63BB3"/>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FE2E1F"/>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11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March 18</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A15B1-3865-4F00-83C7-5BFAD5121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598D7630-B051-4721-8B12-11386215E68E}">
  <ds:schemaRefs>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1c8a0e75-f4bc-4eb4-8ed0-578eaea9e1ca"/>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784B2649-F229-4919-A8FE-EF5175513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9</TotalTime>
  <Pages>3</Pages>
  <Words>781</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Felicity Harris</cp:lastModifiedBy>
  <cp:revision>5</cp:revision>
  <cp:lastPrinted>2010-07-13T13:17:00Z</cp:lastPrinted>
  <dcterms:created xsi:type="dcterms:W3CDTF">2018-03-06T08:40:00Z</dcterms:created>
  <dcterms:modified xsi:type="dcterms:W3CDTF">2018-03-08T17:04:00Z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0x010100AF1B6735D7F23C4B9247C7E07AF9E448</vt:lpwstr>
  </property>
  <property fmtid="{D5CDD505-2E9C-101B-9397-08002B2CF9AE}" pid="16" name="TaxKeyword">
    <vt:lpwstr/>
  </property>
  <property fmtid="{D5CDD505-2E9C-101B-9397-08002B2CF9AE}" pid="17" name="WorkflowChangePath">
    <vt:lpwstr>24f8e0b2-4c82-4946-8ffa-848df0c0da99,3;</vt:lpwstr>
  </property>
</Properties>
</file>